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15D8932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A36AB6" w:rsidRPr="00A36AB6">
        <w:rPr>
          <w:b/>
          <w:sz w:val="28"/>
          <w:szCs w:val="28"/>
        </w:rPr>
        <w:t>Психология общения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7CD1DFD5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A36AB6">
              <w:rPr>
                <w:b/>
              </w:rPr>
              <w:t>4</w:t>
            </w:r>
            <w:r w:rsidR="00D00BCD" w:rsidRPr="00D00BCD">
              <w:rPr>
                <w:b/>
              </w:rPr>
              <w:t xml:space="preserve"> </w:t>
            </w:r>
            <w:r w:rsidR="00A36AB6" w:rsidRPr="00A36AB6">
              <w:rPr>
                <w:b/>
              </w:rPr>
              <w:t>Эффективно взаимодействовать и работать в коллективе и команде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D52B976" w14:textId="20C5B104" w:rsidR="00A36AB6" w:rsidRDefault="002A6474" w:rsidP="00A36AB6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spacing w:val="-2"/>
                <w:sz w:val="24"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A36AB6">
              <w:t>4</w:t>
            </w:r>
            <w:r w:rsidRPr="00F945F3">
              <w:t>- Знать:</w:t>
            </w:r>
            <w:r>
              <w:t xml:space="preserve"> </w:t>
            </w:r>
            <w:r w:rsidR="00A36AB6" w:rsidRPr="00A36AB6">
              <w:rPr>
                <w:spacing w:val="-2"/>
                <w:sz w:val="24"/>
              </w:rPr>
              <w:t>психологические</w:t>
            </w:r>
            <w:r w:rsidR="00A36AB6">
              <w:rPr>
                <w:spacing w:val="-2"/>
                <w:sz w:val="24"/>
              </w:rPr>
              <w:t xml:space="preserve"> </w:t>
            </w:r>
            <w:r w:rsidR="00A36AB6" w:rsidRPr="00A36AB6">
              <w:rPr>
                <w:spacing w:val="-2"/>
                <w:sz w:val="24"/>
              </w:rPr>
              <w:t>основы</w:t>
            </w:r>
            <w:r w:rsidR="00A36AB6">
              <w:rPr>
                <w:spacing w:val="-2"/>
                <w:sz w:val="24"/>
              </w:rPr>
              <w:t xml:space="preserve"> </w:t>
            </w:r>
            <w:r w:rsidR="00A36AB6" w:rsidRPr="00A36AB6">
              <w:rPr>
                <w:spacing w:val="-2"/>
                <w:sz w:val="24"/>
              </w:rPr>
              <w:t>деятельности</w:t>
            </w:r>
            <w:r w:rsidR="00A36AB6">
              <w:rPr>
                <w:spacing w:val="-2"/>
                <w:sz w:val="24"/>
              </w:rPr>
              <w:t xml:space="preserve"> </w:t>
            </w:r>
            <w:r w:rsidR="00A36AB6" w:rsidRPr="00A36AB6">
              <w:rPr>
                <w:spacing w:val="-2"/>
                <w:sz w:val="24"/>
              </w:rPr>
              <w:t>коллектива,</w:t>
            </w:r>
            <w:r w:rsidR="00A36AB6">
              <w:rPr>
                <w:spacing w:val="-2"/>
                <w:sz w:val="24"/>
              </w:rPr>
              <w:t xml:space="preserve"> </w:t>
            </w:r>
            <w:r w:rsidR="00A36AB6" w:rsidRPr="00A36AB6">
              <w:rPr>
                <w:spacing w:val="-2"/>
                <w:sz w:val="24"/>
              </w:rPr>
              <w:t>психологические</w:t>
            </w:r>
            <w:r w:rsidR="00A36AB6">
              <w:rPr>
                <w:spacing w:val="-2"/>
                <w:sz w:val="24"/>
              </w:rPr>
              <w:t xml:space="preserve"> </w:t>
            </w:r>
            <w:r w:rsidR="00A36AB6" w:rsidRPr="00A36AB6">
              <w:rPr>
                <w:spacing w:val="-2"/>
                <w:sz w:val="24"/>
              </w:rPr>
              <w:t>особенности</w:t>
            </w:r>
            <w:r w:rsidR="00A36AB6">
              <w:rPr>
                <w:spacing w:val="-2"/>
                <w:sz w:val="24"/>
              </w:rPr>
              <w:t xml:space="preserve"> </w:t>
            </w:r>
            <w:r w:rsidR="00A36AB6" w:rsidRPr="00A36AB6">
              <w:rPr>
                <w:spacing w:val="-2"/>
                <w:sz w:val="24"/>
              </w:rPr>
              <w:t>личности;</w:t>
            </w:r>
            <w:r w:rsidR="00A36AB6">
              <w:rPr>
                <w:spacing w:val="-2"/>
                <w:sz w:val="24"/>
              </w:rPr>
              <w:t xml:space="preserve"> </w:t>
            </w:r>
            <w:r w:rsidR="00A36AB6" w:rsidRPr="00A36AB6">
              <w:rPr>
                <w:spacing w:val="-2"/>
                <w:sz w:val="24"/>
              </w:rPr>
              <w:t>основы</w:t>
            </w:r>
            <w:r w:rsidR="00A36AB6">
              <w:rPr>
                <w:spacing w:val="-2"/>
                <w:sz w:val="24"/>
              </w:rPr>
              <w:t xml:space="preserve"> </w:t>
            </w:r>
            <w:r w:rsidR="00A36AB6" w:rsidRPr="00A36AB6">
              <w:rPr>
                <w:spacing w:val="-2"/>
                <w:sz w:val="24"/>
              </w:rPr>
              <w:t>проектной</w:t>
            </w:r>
            <w:r w:rsidR="00A36AB6">
              <w:rPr>
                <w:spacing w:val="-2"/>
                <w:sz w:val="24"/>
              </w:rPr>
              <w:t xml:space="preserve"> </w:t>
            </w:r>
            <w:r w:rsidR="00A36AB6" w:rsidRPr="00A36AB6">
              <w:rPr>
                <w:spacing w:val="-2"/>
                <w:sz w:val="24"/>
              </w:rPr>
              <w:t>деятельности</w:t>
            </w:r>
            <w:r w:rsidR="00A36AB6">
              <w:rPr>
                <w:spacing w:val="-2"/>
                <w:sz w:val="24"/>
              </w:rPr>
              <w:t xml:space="preserve"> </w:t>
            </w:r>
          </w:p>
          <w:p w14:paraId="711927FC" w14:textId="27B05FEF" w:rsidR="002A6474" w:rsidRPr="008009B6" w:rsidRDefault="002A6474" w:rsidP="00A36AB6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A36AB6">
              <w:t>4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A36AB6" w:rsidRPr="00A36AB6">
              <w:rPr>
                <w:sz w:val="24"/>
              </w:rPr>
              <w:t>организовывать</w:t>
            </w:r>
            <w:r w:rsidR="00A36AB6">
              <w:rPr>
                <w:sz w:val="24"/>
              </w:rPr>
              <w:t xml:space="preserve"> </w:t>
            </w:r>
            <w:r w:rsidR="00A36AB6" w:rsidRPr="00A36AB6">
              <w:rPr>
                <w:sz w:val="24"/>
              </w:rPr>
              <w:t>работу</w:t>
            </w:r>
            <w:r w:rsidR="00A36AB6">
              <w:rPr>
                <w:sz w:val="24"/>
              </w:rPr>
              <w:t xml:space="preserve"> </w:t>
            </w:r>
            <w:r w:rsidR="00A36AB6" w:rsidRPr="00A36AB6">
              <w:rPr>
                <w:sz w:val="24"/>
              </w:rPr>
              <w:t>коллектива</w:t>
            </w:r>
            <w:r w:rsidR="00A36AB6">
              <w:rPr>
                <w:sz w:val="24"/>
              </w:rPr>
              <w:t xml:space="preserve"> </w:t>
            </w:r>
            <w:r w:rsidR="00A36AB6" w:rsidRPr="00A36AB6">
              <w:rPr>
                <w:sz w:val="24"/>
              </w:rPr>
              <w:t>и</w:t>
            </w:r>
            <w:r w:rsidR="00A36AB6">
              <w:rPr>
                <w:sz w:val="24"/>
              </w:rPr>
              <w:t xml:space="preserve"> </w:t>
            </w:r>
            <w:r w:rsidR="00A36AB6" w:rsidRPr="00A36AB6">
              <w:rPr>
                <w:sz w:val="24"/>
              </w:rPr>
              <w:t>команды;</w:t>
            </w:r>
            <w:r w:rsidR="00A36AB6">
              <w:rPr>
                <w:sz w:val="24"/>
              </w:rPr>
              <w:t xml:space="preserve"> </w:t>
            </w:r>
            <w:r w:rsidR="00A36AB6" w:rsidRPr="00A36AB6">
              <w:rPr>
                <w:sz w:val="24"/>
              </w:rPr>
              <w:t>взаимодействовать</w:t>
            </w:r>
            <w:r w:rsidR="00A36AB6">
              <w:rPr>
                <w:sz w:val="24"/>
              </w:rPr>
              <w:t xml:space="preserve"> </w:t>
            </w:r>
            <w:r w:rsidR="00A36AB6" w:rsidRPr="00A36AB6">
              <w:rPr>
                <w:sz w:val="24"/>
              </w:rPr>
              <w:t>с</w:t>
            </w:r>
            <w:r w:rsidR="00A36AB6">
              <w:rPr>
                <w:sz w:val="24"/>
              </w:rPr>
              <w:t xml:space="preserve"> </w:t>
            </w:r>
            <w:r w:rsidR="00A36AB6" w:rsidRPr="00A36AB6">
              <w:rPr>
                <w:sz w:val="24"/>
              </w:rPr>
              <w:t>коллегами,</w:t>
            </w:r>
            <w:r w:rsidR="00A36AB6">
              <w:rPr>
                <w:sz w:val="24"/>
              </w:rPr>
              <w:t xml:space="preserve"> </w:t>
            </w:r>
            <w:r w:rsidR="00A36AB6" w:rsidRPr="00A36AB6">
              <w:rPr>
                <w:sz w:val="24"/>
              </w:rPr>
              <w:t>руководством,</w:t>
            </w:r>
            <w:r w:rsidR="00A36AB6">
              <w:rPr>
                <w:sz w:val="24"/>
              </w:rPr>
              <w:t xml:space="preserve"> </w:t>
            </w:r>
            <w:r w:rsidR="00A36AB6" w:rsidRPr="00A36AB6">
              <w:rPr>
                <w:sz w:val="24"/>
              </w:rPr>
              <w:t>клиентами</w:t>
            </w:r>
            <w:r w:rsidR="00A36AB6">
              <w:rPr>
                <w:sz w:val="24"/>
              </w:rPr>
              <w:t xml:space="preserve"> </w:t>
            </w:r>
            <w:r w:rsidR="00A36AB6" w:rsidRPr="00A36AB6">
              <w:rPr>
                <w:sz w:val="24"/>
              </w:rPr>
              <w:t>в</w:t>
            </w:r>
            <w:r w:rsidR="00A36AB6">
              <w:rPr>
                <w:sz w:val="24"/>
              </w:rPr>
              <w:t xml:space="preserve"> </w:t>
            </w:r>
            <w:r w:rsidR="00A36AB6" w:rsidRPr="00A36AB6">
              <w:rPr>
                <w:sz w:val="24"/>
              </w:rPr>
              <w:t>ходе</w:t>
            </w:r>
            <w:r w:rsidR="00A36AB6">
              <w:rPr>
                <w:sz w:val="24"/>
              </w:rPr>
              <w:t xml:space="preserve"> </w:t>
            </w:r>
            <w:r w:rsidR="00A36AB6" w:rsidRPr="00A36AB6">
              <w:rPr>
                <w:sz w:val="24"/>
              </w:rPr>
              <w:t>профессиональной деятельности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A36AB6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A36AB6" w:rsidRPr="00010170" w:rsidRDefault="00A36AB6" w:rsidP="00A36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9B0AA86" w14:textId="77777777" w:rsidR="00A36AB6" w:rsidRPr="00010170" w:rsidRDefault="00A36AB6" w:rsidP="00A36AB6">
            <w:pPr>
              <w:pStyle w:val="ac"/>
              <w:shd w:val="clear" w:color="auto" w:fill="FFFFFF"/>
              <w:spacing w:before="0" w:beforeAutospacing="0" w:after="168" w:afterAutospacing="0"/>
              <w:rPr>
                <w:color w:val="333333"/>
              </w:rPr>
            </w:pPr>
            <w:r w:rsidRPr="00010170">
              <w:rPr>
                <w:color w:val="333333"/>
              </w:rPr>
              <w:t>Процесс установления и развития контактов среди людей – это:</w:t>
            </w:r>
          </w:p>
          <w:p w14:paraId="098ABE02" w14:textId="77777777" w:rsidR="00A36AB6" w:rsidRPr="00010170" w:rsidRDefault="00A36AB6" w:rsidP="00A36AB6">
            <w:pPr>
              <w:pStyle w:val="ac"/>
              <w:shd w:val="clear" w:color="auto" w:fill="FFFFFF"/>
              <w:spacing w:before="0" w:beforeAutospacing="0" w:after="168" w:afterAutospacing="0"/>
              <w:rPr>
                <w:color w:val="333333"/>
              </w:rPr>
            </w:pPr>
            <w:r w:rsidRPr="00010170">
              <w:rPr>
                <w:color w:val="333333"/>
              </w:rPr>
              <w:t>1. общение </w:t>
            </w:r>
          </w:p>
          <w:p w14:paraId="2AA818C9" w14:textId="77777777" w:rsidR="00A36AB6" w:rsidRPr="00010170" w:rsidRDefault="00A36AB6" w:rsidP="00A36AB6">
            <w:pPr>
              <w:pStyle w:val="ac"/>
              <w:shd w:val="clear" w:color="auto" w:fill="FFFFFF"/>
              <w:spacing w:before="0" w:beforeAutospacing="0" w:after="168" w:afterAutospacing="0"/>
              <w:rPr>
                <w:color w:val="333333"/>
              </w:rPr>
            </w:pPr>
            <w:r w:rsidRPr="00010170">
              <w:rPr>
                <w:color w:val="333333"/>
              </w:rPr>
              <w:t>2. восп</w:t>
            </w:r>
            <w:bookmarkStart w:id="3" w:name="_GoBack"/>
            <w:bookmarkEnd w:id="3"/>
            <w:r w:rsidRPr="00010170">
              <w:rPr>
                <w:color w:val="333333"/>
              </w:rPr>
              <w:t>риятие</w:t>
            </w:r>
          </w:p>
          <w:p w14:paraId="0DCBAA7E" w14:textId="77777777" w:rsidR="00A36AB6" w:rsidRPr="00010170" w:rsidRDefault="00A36AB6" w:rsidP="00A36AB6">
            <w:pPr>
              <w:pStyle w:val="ac"/>
              <w:shd w:val="clear" w:color="auto" w:fill="FFFFFF"/>
              <w:spacing w:before="0" w:beforeAutospacing="0" w:after="168" w:afterAutospacing="0"/>
              <w:rPr>
                <w:color w:val="333333"/>
              </w:rPr>
            </w:pPr>
            <w:r w:rsidRPr="00010170">
              <w:rPr>
                <w:color w:val="333333"/>
              </w:rPr>
              <w:t>3. взаимодействие</w:t>
            </w:r>
          </w:p>
          <w:p w14:paraId="78D7229B" w14:textId="59586496" w:rsidR="00A36AB6" w:rsidRPr="00010170" w:rsidRDefault="00A36AB6" w:rsidP="00A36AB6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010170">
              <w:rPr>
                <w:color w:val="333333"/>
              </w:rPr>
              <w:t>4. идентификация</w:t>
            </w:r>
          </w:p>
        </w:tc>
        <w:tc>
          <w:tcPr>
            <w:tcW w:w="2664" w:type="dxa"/>
            <w:shd w:val="clear" w:color="auto" w:fill="auto"/>
          </w:tcPr>
          <w:p w14:paraId="68FACD94" w14:textId="2F17ACE7" w:rsidR="00A36AB6" w:rsidRPr="00010170" w:rsidRDefault="00A36AB6" w:rsidP="00A36AB6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t>1</w:t>
            </w:r>
          </w:p>
        </w:tc>
      </w:tr>
      <w:tr w:rsidR="00A36AB6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A36AB6" w:rsidRPr="00010170" w:rsidRDefault="00A36AB6" w:rsidP="00A36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11A2CC0C" w14:textId="77777777" w:rsidR="00A36AB6" w:rsidRPr="00010170" w:rsidRDefault="00A36AB6" w:rsidP="00A36AB6">
            <w:r w:rsidRPr="00010170">
              <w:t>Обязательное условие для коммуникативного влияния как результата обмена информацией:</w:t>
            </w:r>
          </w:p>
          <w:p w14:paraId="2D7AAB6C" w14:textId="77777777" w:rsidR="00A36AB6" w:rsidRPr="00010170" w:rsidRDefault="00A36AB6" w:rsidP="00A36AB6">
            <w:r w:rsidRPr="00010170">
              <w:t>Выберите один правильный ответ</w:t>
            </w:r>
          </w:p>
          <w:p w14:paraId="560F1783" w14:textId="77777777" w:rsidR="00A36AB6" w:rsidRPr="00010170" w:rsidRDefault="00A36AB6" w:rsidP="00A36AB6">
            <w:pPr>
              <w:pStyle w:val="a4"/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средств общения, подразделяемых на вербальные и невербальные</w:t>
            </w:r>
          </w:p>
          <w:p w14:paraId="1C05EF28" w14:textId="77777777" w:rsidR="00A36AB6" w:rsidRPr="00010170" w:rsidRDefault="00A36AB6" w:rsidP="00A36AB6">
            <w:pPr>
              <w:pStyle w:val="a4"/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обладание единой или сходной системой кодификации и </w:t>
            </w:r>
            <w:proofErr w:type="spellStart"/>
            <w:r w:rsidRPr="0001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декодификации</w:t>
            </w:r>
            <w:proofErr w:type="spellEnd"/>
          </w:p>
          <w:p w14:paraId="2AB4A0F5" w14:textId="77777777" w:rsidR="00A36AB6" w:rsidRPr="00010170" w:rsidRDefault="00A36AB6" w:rsidP="00A36AB6">
            <w:pPr>
              <w:pStyle w:val="a4"/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коммуникативных барьеров</w:t>
            </w:r>
          </w:p>
          <w:p w14:paraId="42C7B0E1" w14:textId="44FC6463" w:rsidR="00A36AB6" w:rsidRPr="00010170" w:rsidRDefault="00A36AB6" w:rsidP="00A36AB6">
            <w:pPr>
              <w:pStyle w:val="a4"/>
              <w:spacing w:after="0" w:line="240" w:lineRule="auto"/>
              <w:ind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  </w:t>
            </w:r>
            <w:r w:rsidRPr="0001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коммуникатор и реципиент в коммуникативном процессе никогда не меняются местами</w:t>
            </w:r>
          </w:p>
        </w:tc>
        <w:tc>
          <w:tcPr>
            <w:tcW w:w="2664" w:type="dxa"/>
            <w:shd w:val="clear" w:color="auto" w:fill="auto"/>
          </w:tcPr>
          <w:p w14:paraId="01D96D0D" w14:textId="16D9BEAA" w:rsidR="00A36AB6" w:rsidRPr="00010170" w:rsidRDefault="00A36AB6" w:rsidP="00A36A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10170">
              <w:t>3</w:t>
            </w:r>
          </w:p>
        </w:tc>
      </w:tr>
      <w:tr w:rsidR="00A36AB6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A36AB6" w:rsidRPr="00010170" w:rsidRDefault="00A36AB6" w:rsidP="00A36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23F370A1" w14:textId="77777777" w:rsidR="00A36AB6" w:rsidRPr="00845F8B" w:rsidRDefault="00A36AB6" w:rsidP="00A36AB6">
            <w:r w:rsidRPr="00845F8B">
              <w:t>Невербальная коммуникация, связанная с тактильной системой восприятия — это:</w:t>
            </w:r>
          </w:p>
          <w:p w14:paraId="4D34847D" w14:textId="77777777" w:rsidR="00A36AB6" w:rsidRPr="00845F8B" w:rsidRDefault="00A36AB6" w:rsidP="00A36AB6">
            <w:r w:rsidRPr="00845F8B">
              <w:t>Выберите один правильный ответ</w:t>
            </w:r>
          </w:p>
          <w:p w14:paraId="72CB8B7F" w14:textId="77777777" w:rsidR="00A36AB6" w:rsidRPr="00845F8B" w:rsidRDefault="00A36AB6" w:rsidP="00A36AB6">
            <w:pPr>
              <w:pStyle w:val="a4"/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кинесика</w:t>
            </w:r>
            <w:proofErr w:type="spellEnd"/>
          </w:p>
          <w:p w14:paraId="05B36A0C" w14:textId="77777777" w:rsidR="00A36AB6" w:rsidRPr="00845F8B" w:rsidRDefault="00A36AB6" w:rsidP="00A36AB6">
            <w:pPr>
              <w:pStyle w:val="a4"/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проксемика</w:t>
            </w:r>
            <w:proofErr w:type="spellEnd"/>
          </w:p>
          <w:p w14:paraId="4EF7F8D8" w14:textId="77777777" w:rsidR="00A36AB6" w:rsidRPr="00845F8B" w:rsidRDefault="00A36AB6" w:rsidP="00A36AB6">
            <w:pPr>
              <w:pStyle w:val="a4"/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паралингвистика</w:t>
            </w:r>
          </w:p>
          <w:p w14:paraId="13C798E6" w14:textId="47398E37" w:rsidR="00A36AB6" w:rsidRPr="00010170" w:rsidRDefault="00A36AB6" w:rsidP="00A36AB6">
            <w:pPr>
              <w:pStyle w:val="a4"/>
              <w:spacing w:after="0" w:line="240" w:lineRule="auto"/>
              <w:ind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  </w:t>
            </w:r>
            <w:proofErr w:type="spellStart"/>
            <w:r w:rsidRPr="0084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такесика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6B416B32" w14:textId="4B915904" w:rsidR="00A36AB6" w:rsidRPr="00010170" w:rsidRDefault="00A36AB6" w:rsidP="00A36A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4</w:t>
            </w:r>
          </w:p>
        </w:tc>
      </w:tr>
      <w:tr w:rsidR="00A36AB6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A36AB6" w:rsidRPr="00010170" w:rsidRDefault="00A36AB6" w:rsidP="00A36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095C3D3D" w14:textId="77777777" w:rsidR="00A36AB6" w:rsidRPr="00845F8B" w:rsidRDefault="00A36AB6" w:rsidP="00A36AB6">
            <w:r w:rsidRPr="00845F8B">
              <w:t>К деловым документам личного характера не относится:</w:t>
            </w:r>
          </w:p>
          <w:p w14:paraId="32A6000A" w14:textId="77777777" w:rsidR="00A36AB6" w:rsidRPr="00845F8B" w:rsidRDefault="00A36AB6" w:rsidP="00A36AB6">
            <w:r w:rsidRPr="00845F8B">
              <w:t>Выберите один правильный ответ</w:t>
            </w:r>
          </w:p>
          <w:p w14:paraId="255C3FEC" w14:textId="77777777" w:rsidR="00A36AB6" w:rsidRPr="00845F8B" w:rsidRDefault="00A36AB6" w:rsidP="00A36AB6">
            <w:pPr>
              <w:numPr>
                <w:ilvl w:val="0"/>
                <w:numId w:val="76"/>
              </w:numPr>
              <w:spacing w:before="100" w:beforeAutospacing="1" w:after="100" w:afterAutospacing="1"/>
            </w:pPr>
            <w:r w:rsidRPr="00845F8B">
              <w:t>рекламация</w:t>
            </w:r>
          </w:p>
          <w:p w14:paraId="5F0D14BA" w14:textId="77777777" w:rsidR="00A36AB6" w:rsidRPr="00845F8B" w:rsidRDefault="00A36AB6" w:rsidP="00A36AB6">
            <w:pPr>
              <w:numPr>
                <w:ilvl w:val="0"/>
                <w:numId w:val="76"/>
              </w:numPr>
              <w:spacing w:before="100" w:beforeAutospacing="1" w:after="100" w:afterAutospacing="1"/>
            </w:pPr>
            <w:r w:rsidRPr="00845F8B">
              <w:t>расписка</w:t>
            </w:r>
          </w:p>
          <w:p w14:paraId="13E1152A" w14:textId="77777777" w:rsidR="00A36AB6" w:rsidRPr="00845F8B" w:rsidRDefault="00A36AB6" w:rsidP="00A36AB6">
            <w:pPr>
              <w:numPr>
                <w:ilvl w:val="0"/>
                <w:numId w:val="76"/>
              </w:numPr>
              <w:spacing w:before="100" w:beforeAutospacing="1" w:after="100" w:afterAutospacing="1"/>
            </w:pPr>
            <w:r w:rsidRPr="00845F8B">
              <w:t>рекомендация</w:t>
            </w:r>
          </w:p>
          <w:p w14:paraId="6BF301E2" w14:textId="45A76DCE" w:rsidR="00A36AB6" w:rsidRPr="00A36AB6" w:rsidRDefault="00A36AB6" w:rsidP="00A36AB6">
            <w:pPr>
              <w:numPr>
                <w:ilvl w:val="0"/>
                <w:numId w:val="76"/>
              </w:numPr>
              <w:spacing w:before="100" w:beforeAutospacing="1" w:after="100" w:afterAutospacing="1"/>
            </w:pPr>
            <w:r w:rsidRPr="00845F8B">
              <w:t>анкета</w:t>
            </w:r>
          </w:p>
        </w:tc>
        <w:tc>
          <w:tcPr>
            <w:tcW w:w="2664" w:type="dxa"/>
            <w:shd w:val="clear" w:color="auto" w:fill="auto"/>
          </w:tcPr>
          <w:p w14:paraId="649C390E" w14:textId="5E9686ED" w:rsidR="00A36AB6" w:rsidRPr="00010170" w:rsidRDefault="00A36AB6" w:rsidP="00A36A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rPr>
                <w:rFonts w:eastAsia="Calibri"/>
              </w:rPr>
              <w:t>1</w:t>
            </w:r>
          </w:p>
        </w:tc>
      </w:tr>
      <w:tr w:rsidR="00A36AB6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A36AB6" w:rsidRPr="00010170" w:rsidRDefault="00A36AB6" w:rsidP="00A36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D527422" w14:textId="77777777" w:rsidR="00A36AB6" w:rsidRPr="00D339A8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D339A8">
              <w:rPr>
                <w:color w:val="333333"/>
              </w:rPr>
              <w:t>Неразборчивая речь:</w:t>
            </w:r>
          </w:p>
          <w:p w14:paraId="1F3E003D" w14:textId="77777777" w:rsidR="00A36AB6" w:rsidRPr="00D339A8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D339A8">
              <w:rPr>
                <w:color w:val="333333"/>
              </w:rPr>
              <w:t>1. снижает интерес у собеседника </w:t>
            </w:r>
          </w:p>
          <w:p w14:paraId="289BED5E" w14:textId="77777777" w:rsidR="00A36AB6" w:rsidRPr="00D339A8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D339A8">
              <w:rPr>
                <w:color w:val="333333"/>
              </w:rPr>
              <w:t>2. плохо воспринимается по смыслу</w:t>
            </w:r>
          </w:p>
          <w:p w14:paraId="00EDF463" w14:textId="77777777" w:rsidR="00A36AB6" w:rsidRPr="00D339A8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D339A8">
              <w:rPr>
                <w:color w:val="333333"/>
              </w:rPr>
              <w:t>3. вызывает мысль, что человек тянет время, либо тугодум</w:t>
            </w:r>
          </w:p>
          <w:p w14:paraId="44204F8E" w14:textId="43C52726" w:rsidR="00A36AB6" w:rsidRPr="00A36AB6" w:rsidRDefault="00A36AB6" w:rsidP="00A36A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39A8">
              <w:rPr>
                <w:rFonts w:ascii="Times New Roman" w:hAnsi="Times New Roman"/>
                <w:color w:val="333333"/>
                <w:sz w:val="24"/>
                <w:szCs w:val="24"/>
              </w:rPr>
              <w:t>4. создаёт впечатление, что говорящий навязывает своё мнение</w:t>
            </w:r>
          </w:p>
        </w:tc>
        <w:tc>
          <w:tcPr>
            <w:tcW w:w="2664" w:type="dxa"/>
            <w:shd w:val="clear" w:color="auto" w:fill="auto"/>
          </w:tcPr>
          <w:p w14:paraId="2698D2EE" w14:textId="7D7BA495" w:rsidR="00A36AB6" w:rsidRPr="00010170" w:rsidRDefault="00A36AB6" w:rsidP="00A36A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t>1</w:t>
            </w:r>
          </w:p>
        </w:tc>
      </w:tr>
      <w:tr w:rsidR="00A36AB6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A36AB6" w:rsidRPr="00010170" w:rsidRDefault="00A36AB6" w:rsidP="00A36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5F0E59B" w14:textId="77777777" w:rsidR="00A36AB6" w:rsidRPr="00D339A8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D339A8">
              <w:rPr>
                <w:color w:val="333333"/>
              </w:rPr>
              <w:t>Посадка на кончике стула с выпрямленной спиной:</w:t>
            </w:r>
          </w:p>
          <w:p w14:paraId="25A53B69" w14:textId="77777777" w:rsidR="00A36AB6" w:rsidRPr="00D339A8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D339A8">
              <w:rPr>
                <w:color w:val="333333"/>
              </w:rPr>
              <w:t>1. самоуверенность, благодушие настроения, нет готовности к деятельности</w:t>
            </w:r>
          </w:p>
          <w:p w14:paraId="4EE4E54A" w14:textId="77777777" w:rsidR="00A36AB6" w:rsidRPr="00D339A8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D339A8">
              <w:rPr>
                <w:color w:val="333333"/>
              </w:rPr>
              <w:t>2. крайне отрицательное отношение к собеседнику </w:t>
            </w:r>
          </w:p>
          <w:p w14:paraId="3E3D1FED" w14:textId="77777777" w:rsidR="00A36AB6" w:rsidRPr="00D339A8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D339A8">
              <w:rPr>
                <w:color w:val="333333"/>
              </w:rPr>
              <w:t>3. высокая степень заинтересованности в предмете разговора</w:t>
            </w:r>
          </w:p>
          <w:p w14:paraId="49FE8AFB" w14:textId="77777777" w:rsidR="00A36AB6" w:rsidRPr="00D339A8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D339A8">
              <w:rPr>
                <w:color w:val="333333"/>
              </w:rPr>
              <w:t>4. недостаток дисциплины, бесцеремонность, леность</w:t>
            </w:r>
          </w:p>
          <w:p w14:paraId="3AC300A2" w14:textId="77777777" w:rsidR="00A36AB6" w:rsidRPr="00010170" w:rsidRDefault="00A36AB6" w:rsidP="00A36A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65FC239C" w14:textId="4526AEC0" w:rsidR="00A36AB6" w:rsidRPr="00010170" w:rsidRDefault="00A36AB6" w:rsidP="00A36A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rPr>
                <w:rFonts w:eastAsia="Calibri"/>
              </w:rPr>
              <w:t>2</w:t>
            </w:r>
          </w:p>
        </w:tc>
      </w:tr>
      <w:tr w:rsidR="00A36AB6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A36AB6" w:rsidRPr="00010170" w:rsidRDefault="00A36AB6" w:rsidP="00A36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B99FEBF" w14:textId="77777777" w:rsidR="00A36AB6" w:rsidRPr="009E5649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9E5649">
              <w:rPr>
                <w:color w:val="333333"/>
              </w:rPr>
              <w:t>Если дистанция между общающимися составляет 0…0,5 м – это дистанция:</w:t>
            </w:r>
          </w:p>
          <w:p w14:paraId="3DCEBD94" w14:textId="77777777" w:rsidR="00A36AB6" w:rsidRPr="009E5649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9E5649">
              <w:rPr>
                <w:color w:val="333333"/>
              </w:rPr>
              <w:t>1. публичная</w:t>
            </w:r>
          </w:p>
          <w:p w14:paraId="3F4BA896" w14:textId="77777777" w:rsidR="00A36AB6" w:rsidRPr="009E5649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9E5649">
              <w:rPr>
                <w:color w:val="333333"/>
              </w:rPr>
              <w:t>2. социальная</w:t>
            </w:r>
          </w:p>
          <w:p w14:paraId="548F69D1" w14:textId="77777777" w:rsidR="00A36AB6" w:rsidRPr="009E5649" w:rsidRDefault="00A36AB6" w:rsidP="00A36AB6">
            <w:pPr>
              <w:shd w:val="clear" w:color="auto" w:fill="FFFFFF"/>
              <w:spacing w:after="164"/>
              <w:rPr>
                <w:color w:val="333333"/>
              </w:rPr>
            </w:pPr>
            <w:r w:rsidRPr="009E5649">
              <w:rPr>
                <w:color w:val="333333"/>
              </w:rPr>
              <w:t>3. интимная </w:t>
            </w:r>
          </w:p>
          <w:p w14:paraId="2E79FD19" w14:textId="1CDB6346" w:rsidR="00A36AB6" w:rsidRPr="00010170" w:rsidRDefault="00A36AB6" w:rsidP="00A36A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5649">
              <w:rPr>
                <w:rFonts w:ascii="Times New Roman" w:hAnsi="Times New Roman"/>
                <w:color w:val="333333"/>
                <w:sz w:val="24"/>
                <w:szCs w:val="24"/>
              </w:rPr>
              <w:t>4. личная</w:t>
            </w:r>
          </w:p>
        </w:tc>
        <w:tc>
          <w:tcPr>
            <w:tcW w:w="2664" w:type="dxa"/>
            <w:shd w:val="clear" w:color="auto" w:fill="auto"/>
          </w:tcPr>
          <w:p w14:paraId="277C40EF" w14:textId="77777777" w:rsidR="00A36AB6" w:rsidRPr="00A36AB6" w:rsidRDefault="00A36AB6" w:rsidP="00A36AB6">
            <w:pPr>
              <w:rPr>
                <w:b/>
                <w:bCs/>
              </w:rPr>
            </w:pPr>
            <w:r w:rsidRPr="00A36AB6">
              <w:rPr>
                <w:rStyle w:val="a3"/>
                <w:b w:val="0"/>
                <w:bCs w:val="0"/>
                <w:color w:val="2E2F30"/>
                <w:shd w:val="clear" w:color="auto" w:fill="FFFFFF"/>
              </w:rPr>
              <w:t>3</w:t>
            </w:r>
          </w:p>
          <w:p w14:paraId="18EF85F8" w14:textId="77777777" w:rsidR="00A36AB6" w:rsidRPr="00010170" w:rsidRDefault="00A36AB6" w:rsidP="00A36AB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p w14:paraId="53B5702B" w14:textId="77777777" w:rsidR="008009B6" w:rsidRPr="00AC294F" w:rsidRDefault="008009B6" w:rsidP="002A6474"/>
    <w:sectPr w:rsidR="008009B6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A9A76" w14:textId="77777777" w:rsidR="00CC42A4" w:rsidRDefault="00CC42A4">
      <w:r>
        <w:separator/>
      </w:r>
    </w:p>
  </w:endnote>
  <w:endnote w:type="continuationSeparator" w:id="0">
    <w:p w14:paraId="3370439D" w14:textId="77777777" w:rsidR="00CC42A4" w:rsidRDefault="00CC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E197F" w14:textId="77777777" w:rsidR="00CC42A4" w:rsidRDefault="00CC42A4">
      <w:r>
        <w:separator/>
      </w:r>
    </w:p>
  </w:footnote>
  <w:footnote w:type="continuationSeparator" w:id="0">
    <w:p w14:paraId="2B2054A6" w14:textId="77777777" w:rsidR="00CC42A4" w:rsidRDefault="00CC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4C0"/>
    <w:multiLevelType w:val="hybridMultilevel"/>
    <w:tmpl w:val="9EC22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634A"/>
    <w:multiLevelType w:val="hybridMultilevel"/>
    <w:tmpl w:val="C71C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8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3"/>
  </w:num>
  <w:num w:numId="3">
    <w:abstractNumId w:val="66"/>
  </w:num>
  <w:num w:numId="4">
    <w:abstractNumId w:val="17"/>
  </w:num>
  <w:num w:numId="5">
    <w:abstractNumId w:val="29"/>
  </w:num>
  <w:num w:numId="6">
    <w:abstractNumId w:val="44"/>
  </w:num>
  <w:num w:numId="7">
    <w:abstractNumId w:val="48"/>
  </w:num>
  <w:num w:numId="8">
    <w:abstractNumId w:val="35"/>
  </w:num>
  <w:num w:numId="9">
    <w:abstractNumId w:val="68"/>
  </w:num>
  <w:num w:numId="10">
    <w:abstractNumId w:val="34"/>
  </w:num>
  <w:num w:numId="11">
    <w:abstractNumId w:val="39"/>
  </w:num>
  <w:num w:numId="12">
    <w:abstractNumId w:val="28"/>
  </w:num>
  <w:num w:numId="13">
    <w:abstractNumId w:val="53"/>
  </w:num>
  <w:num w:numId="14">
    <w:abstractNumId w:val="32"/>
  </w:num>
  <w:num w:numId="15">
    <w:abstractNumId w:val="21"/>
  </w:num>
  <w:num w:numId="16">
    <w:abstractNumId w:val="58"/>
  </w:num>
  <w:num w:numId="17">
    <w:abstractNumId w:val="52"/>
  </w:num>
  <w:num w:numId="18">
    <w:abstractNumId w:val="61"/>
  </w:num>
  <w:num w:numId="19">
    <w:abstractNumId w:val="6"/>
  </w:num>
  <w:num w:numId="20">
    <w:abstractNumId w:val="23"/>
  </w:num>
  <w:num w:numId="21">
    <w:abstractNumId w:val="72"/>
  </w:num>
  <w:num w:numId="22">
    <w:abstractNumId w:val="50"/>
  </w:num>
  <w:num w:numId="23">
    <w:abstractNumId w:val="42"/>
  </w:num>
  <w:num w:numId="24">
    <w:abstractNumId w:val="16"/>
  </w:num>
  <w:num w:numId="25">
    <w:abstractNumId w:val="41"/>
  </w:num>
  <w:num w:numId="26">
    <w:abstractNumId w:val="26"/>
  </w:num>
  <w:num w:numId="27">
    <w:abstractNumId w:val="9"/>
  </w:num>
  <w:num w:numId="28">
    <w:abstractNumId w:val="25"/>
  </w:num>
  <w:num w:numId="29">
    <w:abstractNumId w:val="7"/>
  </w:num>
  <w:num w:numId="30">
    <w:abstractNumId w:val="14"/>
  </w:num>
  <w:num w:numId="31">
    <w:abstractNumId w:val="1"/>
  </w:num>
  <w:num w:numId="32">
    <w:abstractNumId w:val="24"/>
  </w:num>
  <w:num w:numId="33">
    <w:abstractNumId w:val="65"/>
  </w:num>
  <w:num w:numId="34">
    <w:abstractNumId w:val="55"/>
  </w:num>
  <w:num w:numId="35">
    <w:abstractNumId w:val="43"/>
  </w:num>
  <w:num w:numId="36">
    <w:abstractNumId w:val="38"/>
  </w:num>
  <w:num w:numId="37">
    <w:abstractNumId w:val="15"/>
  </w:num>
  <w:num w:numId="38">
    <w:abstractNumId w:val="51"/>
  </w:num>
  <w:num w:numId="39">
    <w:abstractNumId w:val="18"/>
  </w:num>
  <w:num w:numId="40">
    <w:abstractNumId w:val="2"/>
  </w:num>
  <w:num w:numId="41">
    <w:abstractNumId w:val="67"/>
  </w:num>
  <w:num w:numId="42">
    <w:abstractNumId w:val="22"/>
  </w:num>
  <w:num w:numId="43">
    <w:abstractNumId w:val="63"/>
  </w:num>
  <w:num w:numId="44">
    <w:abstractNumId w:val="71"/>
  </w:num>
  <w:num w:numId="45">
    <w:abstractNumId w:val="19"/>
  </w:num>
  <w:num w:numId="46">
    <w:abstractNumId w:val="11"/>
  </w:num>
  <w:num w:numId="47">
    <w:abstractNumId w:val="47"/>
  </w:num>
  <w:num w:numId="48">
    <w:abstractNumId w:val="27"/>
  </w:num>
  <w:num w:numId="49">
    <w:abstractNumId w:val="20"/>
  </w:num>
  <w:num w:numId="50">
    <w:abstractNumId w:val="46"/>
  </w:num>
  <w:num w:numId="51">
    <w:abstractNumId w:val="45"/>
  </w:num>
  <w:num w:numId="52">
    <w:abstractNumId w:val="40"/>
  </w:num>
  <w:num w:numId="53">
    <w:abstractNumId w:val="8"/>
  </w:num>
  <w:num w:numId="54">
    <w:abstractNumId w:val="59"/>
  </w:num>
  <w:num w:numId="55">
    <w:abstractNumId w:val="69"/>
  </w:num>
  <w:num w:numId="56">
    <w:abstractNumId w:val="49"/>
  </w:num>
  <w:num w:numId="57">
    <w:abstractNumId w:val="12"/>
  </w:num>
  <w:num w:numId="58">
    <w:abstractNumId w:val="10"/>
  </w:num>
  <w:num w:numId="59">
    <w:abstractNumId w:val="36"/>
  </w:num>
  <w:num w:numId="60">
    <w:abstractNumId w:val="60"/>
  </w:num>
  <w:num w:numId="61">
    <w:abstractNumId w:val="62"/>
  </w:num>
  <w:num w:numId="62">
    <w:abstractNumId w:val="70"/>
  </w:num>
  <w:num w:numId="63">
    <w:abstractNumId w:val="10"/>
  </w:num>
  <w:num w:numId="64">
    <w:abstractNumId w:val="56"/>
  </w:num>
  <w:num w:numId="65">
    <w:abstractNumId w:val="57"/>
  </w:num>
  <w:num w:numId="66">
    <w:abstractNumId w:val="64"/>
  </w:num>
  <w:num w:numId="67">
    <w:abstractNumId w:val="37"/>
  </w:num>
  <w:num w:numId="68">
    <w:abstractNumId w:val="30"/>
  </w:num>
  <w:num w:numId="69">
    <w:abstractNumId w:val="73"/>
  </w:num>
  <w:num w:numId="70">
    <w:abstractNumId w:val="74"/>
  </w:num>
  <w:num w:numId="71">
    <w:abstractNumId w:val="54"/>
  </w:num>
  <w:num w:numId="72">
    <w:abstractNumId w:val="33"/>
  </w:num>
  <w:num w:numId="73">
    <w:abstractNumId w:val="31"/>
  </w:num>
  <w:num w:numId="74">
    <w:abstractNumId w:val="0"/>
  </w:num>
  <w:num w:numId="75">
    <w:abstractNumId w:val="3"/>
  </w:num>
  <w:num w:numId="76">
    <w:abstractNumId w:val="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76247"/>
    <w:rsid w:val="004F5EB1"/>
    <w:rsid w:val="005B753D"/>
    <w:rsid w:val="005E0C2A"/>
    <w:rsid w:val="006B360F"/>
    <w:rsid w:val="007C0ED4"/>
    <w:rsid w:val="007D76EF"/>
    <w:rsid w:val="008009B6"/>
    <w:rsid w:val="00820200"/>
    <w:rsid w:val="008757C4"/>
    <w:rsid w:val="0091482D"/>
    <w:rsid w:val="009208F1"/>
    <w:rsid w:val="009D1E68"/>
    <w:rsid w:val="00A36AB6"/>
    <w:rsid w:val="00A54A6F"/>
    <w:rsid w:val="00AA3AD9"/>
    <w:rsid w:val="00AC294F"/>
    <w:rsid w:val="00CC42A4"/>
    <w:rsid w:val="00D00BCD"/>
    <w:rsid w:val="00D17BC7"/>
    <w:rsid w:val="00DB3C33"/>
    <w:rsid w:val="00E20DFF"/>
    <w:rsid w:val="00E31E76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16</cp:revision>
  <dcterms:created xsi:type="dcterms:W3CDTF">2025-02-09T18:28:00Z</dcterms:created>
  <dcterms:modified xsi:type="dcterms:W3CDTF">2025-09-14T11:04:00Z</dcterms:modified>
</cp:coreProperties>
</file>